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C7745" w14:textId="2D03B835" w:rsidR="00961CB4" w:rsidRPr="00EB2595" w:rsidRDefault="00460AAB" w:rsidP="00C35B1D">
      <w:pPr>
        <w:spacing w:after="60" w:line="360" w:lineRule="auto"/>
        <w:jc w:val="both"/>
        <w:rPr>
          <w:rFonts w:ascii="Arial" w:hAnsi="Arial" w:cs="Arial"/>
          <w:b/>
          <w:color w:val="auto"/>
          <w:sz w:val="20"/>
          <w:szCs w:val="20"/>
          <w:lang w:val="en-GB"/>
        </w:rPr>
      </w:pPr>
      <w:r w:rsidRPr="00EB2595">
        <w:rPr>
          <w:rFonts w:ascii="Arial" w:hAnsi="Arial" w:cs="Arial"/>
          <w:b/>
          <w:color w:val="auto"/>
          <w:sz w:val="20"/>
          <w:szCs w:val="20"/>
          <w:lang w:val="en-GB"/>
        </w:rPr>
        <w:t>PHỤ LỤC XXV-TT98/TT-BTC</w:t>
      </w:r>
    </w:p>
    <w:p w14:paraId="3F35A9A2" w14:textId="133B3DCC" w:rsidR="00961CB4" w:rsidRPr="00EB2595" w:rsidRDefault="00961CB4" w:rsidP="00C35B1D">
      <w:pPr>
        <w:spacing w:after="60" w:line="360" w:lineRule="auto"/>
        <w:rPr>
          <w:rFonts w:ascii="Arial" w:eastAsiaTheme="minorHAnsi" w:hAnsi="Arial" w:cs="Arial"/>
          <w:b/>
          <w:bCs/>
          <w:color w:val="auto"/>
          <w:sz w:val="20"/>
          <w:szCs w:val="20"/>
          <w:lang w:val="en-GB" w:eastAsia="en-GB"/>
        </w:rPr>
      </w:pPr>
      <w:r w:rsidRPr="00EB2595">
        <w:rPr>
          <w:rFonts w:ascii="Arial" w:hAnsi="Arial" w:cs="Arial"/>
          <w:b/>
          <w:bCs/>
          <w:color w:val="auto"/>
          <w:sz w:val="20"/>
          <w:szCs w:val="20"/>
        </w:rPr>
        <w:t>1. Thông tin về quỹ</w:t>
      </w:r>
    </w:p>
    <w:p w14:paraId="08B97955" w14:textId="435F7BD5" w:rsidR="00961CB4" w:rsidRPr="00EB2595" w:rsidRDefault="006A4B9A" w:rsidP="006A4B9A">
      <w:pPr>
        <w:pStyle w:val="ListParagraph"/>
        <w:spacing w:after="60" w:line="360" w:lineRule="auto"/>
        <w:ind w:left="0"/>
        <w:jc w:val="both"/>
        <w:rPr>
          <w:rFonts w:ascii="Arial" w:hAnsi="Arial" w:cs="Arial"/>
          <w:sz w:val="20"/>
          <w:szCs w:val="20"/>
          <w:lang w:val="vi-VN" w:eastAsia="en-GB"/>
        </w:rPr>
      </w:pPr>
      <w:r>
        <w:rPr>
          <w:rFonts w:ascii="Arial" w:hAnsi="Arial" w:cs="Arial"/>
          <w:sz w:val="20"/>
          <w:szCs w:val="20"/>
          <w:lang w:val="en-US"/>
        </w:rPr>
        <w:t xml:space="preserve">i) </w:t>
      </w:r>
      <w:r w:rsidR="00961CB4" w:rsidRPr="00EB2595">
        <w:rPr>
          <w:rFonts w:ascii="Arial" w:hAnsi="Arial" w:cs="Arial"/>
          <w:sz w:val="20"/>
          <w:szCs w:val="20"/>
          <w:lang w:val="vi-VN"/>
        </w:rPr>
        <w:t>Ý kiến nhận xét của ngân hàng giám sát về các nội dung quy định tại Thông tư hướng dẫn về hoạt động và quản lý các quỹ đầu tư chứng khoán.</w:t>
      </w:r>
    </w:p>
    <w:p w14:paraId="3139E457" w14:textId="02BE9C94" w:rsidR="00961CB4" w:rsidRPr="00EB2595" w:rsidRDefault="00961CB4" w:rsidP="00C35B1D">
      <w:pPr>
        <w:pStyle w:val="ListParagraph"/>
        <w:spacing w:after="60" w:line="360" w:lineRule="auto"/>
        <w:ind w:left="0"/>
        <w:jc w:val="both"/>
        <w:rPr>
          <w:rFonts w:ascii="Arial" w:hAnsi="Arial" w:cs="Arial"/>
          <w:sz w:val="20"/>
          <w:szCs w:val="20"/>
          <w:lang w:val="vi-VN"/>
        </w:rPr>
      </w:pPr>
      <w:r w:rsidRPr="00EB2595">
        <w:rPr>
          <w:rFonts w:ascii="Arial" w:hAnsi="Arial" w:cs="Arial"/>
          <w:sz w:val="20"/>
          <w:szCs w:val="20"/>
          <w:lang w:val="vi-VN"/>
        </w:rPr>
        <w:t>Xin xem chi tiết tại Mục 4. Báo cáo về hoạt động giám sát của ngân hàng giám sát.</w:t>
      </w:r>
    </w:p>
    <w:p w14:paraId="7280FFDE" w14:textId="0E2B6121" w:rsidR="00460AAB" w:rsidRPr="00EB2595" w:rsidRDefault="00460AAB" w:rsidP="00C35B1D">
      <w:pPr>
        <w:spacing w:after="60" w:line="360" w:lineRule="auto"/>
        <w:jc w:val="both"/>
        <w:rPr>
          <w:rFonts w:ascii="Arial" w:hAnsi="Arial" w:cs="Arial"/>
          <w:b/>
          <w:color w:val="auto"/>
          <w:sz w:val="20"/>
          <w:szCs w:val="20"/>
        </w:rPr>
      </w:pPr>
      <w:r w:rsidRPr="00EB2595">
        <w:rPr>
          <w:rFonts w:ascii="Arial" w:hAnsi="Arial" w:cs="Arial"/>
          <w:b/>
          <w:color w:val="auto"/>
          <w:sz w:val="20"/>
          <w:szCs w:val="20"/>
        </w:rPr>
        <w:t>4. Báo cáo về hoạt động giám sát của ngân hàng giám sát</w:t>
      </w:r>
    </w:p>
    <w:p w14:paraId="59E4ECB8" w14:textId="0EC49633" w:rsidR="00460AAB" w:rsidRPr="00EB2595" w:rsidRDefault="00460AAB" w:rsidP="00C35B1D">
      <w:pPr>
        <w:spacing w:after="60" w:line="360" w:lineRule="auto"/>
        <w:jc w:val="both"/>
        <w:rPr>
          <w:rFonts w:ascii="Arial" w:hAnsi="Arial" w:cs="Arial"/>
          <w:color w:val="auto"/>
          <w:sz w:val="20"/>
          <w:szCs w:val="20"/>
        </w:rPr>
      </w:pPr>
      <w:r w:rsidRPr="00EB2595">
        <w:rPr>
          <w:rFonts w:ascii="Arial" w:hAnsi="Arial" w:cs="Arial"/>
          <w:color w:val="auto"/>
          <w:sz w:val="20"/>
          <w:szCs w:val="20"/>
        </w:rPr>
        <w:t xml:space="preserve">Ngân hàng giám sát phải đưa ra ý kiến về sự tuân thủ quy định pháp luật, quy định tại Điều lệ quỹ, Bản cáo bạch của </w:t>
      </w:r>
      <w:r w:rsidR="00EB2595" w:rsidRPr="00EB2595">
        <w:rPr>
          <w:rFonts w:ascii="Arial" w:eastAsiaTheme="minorHAnsi" w:hAnsi="Arial" w:cs="Arial"/>
          <w:color w:val="auto"/>
          <w:sz w:val="20"/>
          <w:szCs w:val="20"/>
        </w:rPr>
        <w:t xml:space="preserve">Công ty TNHH Quản lý Quỹ Eastspring Investments </w:t>
      </w:r>
      <w:r w:rsidRPr="00EB2595">
        <w:rPr>
          <w:rFonts w:ascii="Arial" w:hAnsi="Arial" w:cs="Arial"/>
          <w:color w:val="auto"/>
          <w:sz w:val="20"/>
          <w:szCs w:val="20"/>
        </w:rPr>
        <w:t xml:space="preserve">trong quá trình vận hành và quản lý </w:t>
      </w:r>
      <w:r w:rsidR="00226854" w:rsidRPr="00226854">
        <w:rPr>
          <w:rFonts w:ascii="Arial" w:hAnsi="Arial" w:cs="Arial"/>
          <w:color w:val="auto"/>
          <w:sz w:val="20"/>
          <w:szCs w:val="20"/>
          <w:lang w:val="nl-NL"/>
        </w:rPr>
        <w:t>Quỹ Đầu tư Cổ phiếu ESG Eastspring Investments Việt Nam</w:t>
      </w:r>
      <w:r w:rsidR="00226854">
        <w:rPr>
          <w:rFonts w:ascii="Arial" w:hAnsi="Arial" w:cs="Arial"/>
          <w:color w:val="auto"/>
          <w:sz w:val="20"/>
          <w:szCs w:val="20"/>
        </w:rPr>
        <w:t xml:space="preserve"> </w:t>
      </w:r>
      <w:r w:rsidRPr="00EB2595">
        <w:rPr>
          <w:rFonts w:ascii="Arial" w:eastAsiaTheme="minorHAnsi" w:hAnsi="Arial" w:cs="Arial"/>
          <w:color w:val="auto"/>
          <w:sz w:val="20"/>
          <w:szCs w:val="20"/>
        </w:rPr>
        <w:t>(</w:t>
      </w:r>
      <w:r w:rsidR="00CF0476" w:rsidRPr="00EB2595">
        <w:rPr>
          <w:rFonts w:ascii="Arial" w:eastAsiaTheme="minorHAnsi" w:hAnsi="Arial" w:cs="Arial"/>
          <w:color w:val="auto"/>
          <w:sz w:val="20"/>
          <w:szCs w:val="20"/>
        </w:rPr>
        <w:t>“</w:t>
      </w:r>
      <w:r w:rsidR="00226854">
        <w:rPr>
          <w:rFonts w:ascii="Arial" w:eastAsiaTheme="minorHAnsi" w:hAnsi="Arial" w:cs="Arial"/>
          <w:color w:val="auto"/>
          <w:sz w:val="20"/>
          <w:szCs w:val="20"/>
        </w:rPr>
        <w:t>EVESG</w:t>
      </w:r>
      <w:r w:rsidR="00CF0476" w:rsidRPr="00EB2595">
        <w:rPr>
          <w:rFonts w:ascii="Arial" w:eastAsiaTheme="minorHAnsi" w:hAnsi="Arial" w:cs="Arial"/>
          <w:color w:val="auto"/>
          <w:sz w:val="20"/>
          <w:szCs w:val="20"/>
        </w:rPr>
        <w:t xml:space="preserve">” hoặc </w:t>
      </w:r>
      <w:r w:rsidR="0048515C" w:rsidRPr="00EB2595">
        <w:rPr>
          <w:rFonts w:ascii="Arial" w:eastAsiaTheme="minorHAnsi" w:hAnsi="Arial" w:cs="Arial"/>
          <w:color w:val="auto"/>
          <w:sz w:val="20"/>
          <w:szCs w:val="20"/>
        </w:rPr>
        <w:t>“Quỹ”</w:t>
      </w:r>
      <w:r w:rsidRPr="00EB2595">
        <w:rPr>
          <w:rFonts w:ascii="Arial" w:eastAsiaTheme="minorHAnsi" w:hAnsi="Arial" w:cs="Arial"/>
          <w:color w:val="auto"/>
          <w:sz w:val="20"/>
          <w:szCs w:val="20"/>
        </w:rPr>
        <w:t xml:space="preserve">) </w:t>
      </w:r>
      <w:r w:rsidRPr="00EB2595">
        <w:rPr>
          <w:rFonts w:ascii="Arial" w:hAnsi="Arial" w:cs="Arial"/>
          <w:color w:val="auto"/>
          <w:sz w:val="20"/>
          <w:szCs w:val="20"/>
        </w:rPr>
        <w:t>đối với các nội dung sau:</w:t>
      </w:r>
    </w:p>
    <w:p w14:paraId="0EBC2BE0" w14:textId="02544437" w:rsidR="00460AAB" w:rsidRPr="00EB2595" w:rsidRDefault="00460AAB" w:rsidP="00C35B1D">
      <w:pPr>
        <w:pStyle w:val="BodyText"/>
        <w:spacing w:after="60" w:line="360" w:lineRule="auto"/>
        <w:rPr>
          <w:rFonts w:ascii="Arial" w:eastAsiaTheme="minorHAnsi" w:hAnsi="Arial" w:cs="Arial"/>
          <w:lang w:val="vi-VN"/>
        </w:rPr>
      </w:pPr>
      <w:r w:rsidRPr="00EB2595">
        <w:rPr>
          <w:rFonts w:ascii="Arial" w:hAnsi="Arial" w:cs="Arial"/>
          <w:lang w:val="vi-VN"/>
        </w:rPr>
        <w:t>a) Thuyết minh về việc thay đổi ngân hàng giám sát (nếu có)</w:t>
      </w:r>
      <w:r w:rsidR="00420DBC" w:rsidRPr="00EB2595">
        <w:rPr>
          <w:rFonts w:ascii="Arial" w:hAnsi="Arial" w:cs="Arial"/>
          <w:lang w:val="vi-VN"/>
        </w:rPr>
        <w:t>:</w:t>
      </w:r>
      <w:r w:rsidRPr="00EB2595">
        <w:rPr>
          <w:rFonts w:ascii="Arial" w:eastAsiaTheme="minorHAnsi" w:hAnsi="Arial" w:cs="Arial"/>
          <w:lang w:val="vi-VN"/>
        </w:rPr>
        <w:t xml:space="preserve"> </w:t>
      </w:r>
      <w:bookmarkStart w:id="0" w:name="_Hlk140501799"/>
      <w:r w:rsidR="00226854" w:rsidRPr="00226854">
        <w:rPr>
          <w:rFonts w:ascii="Arial" w:eastAsiaTheme="minorHAnsi" w:hAnsi="Arial" w:cs="Arial"/>
          <w:lang w:val="vi-VN"/>
        </w:rPr>
        <w:t xml:space="preserve">từ ngày 13 tháng 11 năm 2024 - Ngày thành lập Quỹ </w:t>
      </w:r>
      <w:r w:rsidR="009A601C" w:rsidRPr="00EB2595">
        <w:rPr>
          <w:rFonts w:ascii="Arial" w:eastAsiaTheme="minorHAnsi" w:hAnsi="Arial" w:cs="Arial"/>
          <w:lang w:val="vi-VN"/>
        </w:rPr>
        <w:t xml:space="preserve">đến ngày </w:t>
      </w:r>
      <w:r w:rsidR="00226854">
        <w:rPr>
          <w:rFonts w:ascii="Arial" w:eastAsiaTheme="minorHAnsi" w:hAnsi="Arial" w:cs="Arial"/>
          <w:lang w:val="vi-VN"/>
        </w:rPr>
        <w:t>31</w:t>
      </w:r>
      <w:r w:rsidR="009A601C" w:rsidRPr="00EB2595">
        <w:rPr>
          <w:rFonts w:ascii="Arial" w:eastAsiaTheme="minorHAnsi" w:hAnsi="Arial" w:cs="Arial"/>
          <w:lang w:val="vi-VN"/>
        </w:rPr>
        <w:t xml:space="preserve"> tháng </w:t>
      </w:r>
      <w:r w:rsidR="00B72FDD">
        <w:rPr>
          <w:rFonts w:ascii="Arial" w:eastAsiaTheme="minorHAnsi" w:hAnsi="Arial" w:cs="Arial"/>
          <w:lang w:val="en-US"/>
        </w:rPr>
        <w:t>12</w:t>
      </w:r>
      <w:r w:rsidR="009A601C" w:rsidRPr="00EB2595">
        <w:rPr>
          <w:rFonts w:ascii="Arial" w:eastAsiaTheme="minorHAnsi" w:hAnsi="Arial" w:cs="Arial"/>
          <w:lang w:val="vi-VN"/>
        </w:rPr>
        <w:t xml:space="preserve"> năm </w:t>
      </w:r>
      <w:bookmarkEnd w:id="0"/>
      <w:r w:rsidR="00D92C8A" w:rsidRPr="00EB2595">
        <w:rPr>
          <w:rFonts w:ascii="Arial" w:eastAsiaTheme="minorHAnsi" w:hAnsi="Arial" w:cs="Arial"/>
          <w:lang w:val="vi-VN"/>
        </w:rPr>
        <w:t>2024</w:t>
      </w:r>
      <w:r w:rsidRPr="00EB2595">
        <w:rPr>
          <w:rFonts w:ascii="Arial" w:eastAsiaTheme="minorHAnsi" w:hAnsi="Arial" w:cs="Arial"/>
          <w:lang w:val="vi-VN"/>
        </w:rPr>
        <w:t>, Quỹ không thay đổi Ngân hàng giám sát.</w:t>
      </w:r>
    </w:p>
    <w:p w14:paraId="39CF4583" w14:textId="2BD3F688" w:rsidR="00460AAB" w:rsidRPr="00EB2595" w:rsidRDefault="00460AAB" w:rsidP="00C35B1D">
      <w:pPr>
        <w:pStyle w:val="BodyText"/>
        <w:spacing w:after="60" w:line="360" w:lineRule="auto"/>
        <w:rPr>
          <w:rFonts w:ascii="Arial" w:eastAsiaTheme="minorHAnsi" w:hAnsi="Arial" w:cs="Arial"/>
          <w:lang w:val="vi-VN"/>
        </w:rPr>
      </w:pPr>
      <w:r w:rsidRPr="00EB2595">
        <w:rPr>
          <w:rFonts w:ascii="Arial" w:hAnsi="Arial" w:cs="Arial"/>
          <w:lang w:val="vi-VN"/>
        </w:rPr>
        <w:t>b) Việc lưu ký tài sản của quỹ</w:t>
      </w:r>
      <w:r w:rsidR="00420DBC" w:rsidRPr="00EB2595">
        <w:rPr>
          <w:rFonts w:ascii="Arial" w:hAnsi="Arial" w:cs="Arial"/>
          <w:lang w:val="vi-VN"/>
        </w:rPr>
        <w:t>:</w:t>
      </w:r>
      <w:r w:rsidRPr="00EB2595">
        <w:rPr>
          <w:rFonts w:ascii="Arial" w:hAnsi="Arial" w:cs="Arial"/>
          <w:lang w:val="vi-VN"/>
        </w:rPr>
        <w:t xml:space="preserve"> </w:t>
      </w:r>
      <w:r w:rsidRPr="00EB2595">
        <w:rPr>
          <w:rFonts w:ascii="Arial" w:eastAsiaTheme="minorHAnsi" w:hAnsi="Arial" w:cs="Arial"/>
          <w:lang w:val="vi-VN"/>
        </w:rPr>
        <w:t xml:space="preserve">từ </w:t>
      </w:r>
      <w:r w:rsidR="00226854" w:rsidRPr="00226854">
        <w:rPr>
          <w:rFonts w:ascii="Arial" w:eastAsiaTheme="minorHAnsi" w:hAnsi="Arial" w:cs="Arial"/>
          <w:lang w:val="vi-VN"/>
        </w:rPr>
        <w:t xml:space="preserve">ngày 13 tháng 11 năm 2024 - Ngày thành lập Quỹ </w:t>
      </w:r>
      <w:r w:rsidR="00D92C8A" w:rsidRPr="00EB2595">
        <w:rPr>
          <w:rFonts w:ascii="Arial" w:eastAsiaTheme="minorHAnsi" w:hAnsi="Arial" w:cs="Arial"/>
          <w:lang w:val="vi-VN"/>
        </w:rPr>
        <w:t xml:space="preserve">đến ngày </w:t>
      </w:r>
      <w:r w:rsidR="00226854">
        <w:rPr>
          <w:rFonts w:ascii="Arial" w:eastAsiaTheme="minorHAnsi" w:hAnsi="Arial" w:cs="Arial"/>
          <w:lang w:val="vi-VN"/>
        </w:rPr>
        <w:t>31</w:t>
      </w:r>
      <w:r w:rsidR="00D92C8A" w:rsidRPr="00EB2595">
        <w:rPr>
          <w:rFonts w:ascii="Arial" w:eastAsiaTheme="minorHAnsi" w:hAnsi="Arial" w:cs="Arial"/>
          <w:lang w:val="vi-VN"/>
        </w:rPr>
        <w:t xml:space="preserve"> tháng </w:t>
      </w:r>
      <w:r w:rsidR="00E8720A">
        <w:rPr>
          <w:rFonts w:ascii="Arial" w:eastAsiaTheme="minorHAnsi" w:hAnsi="Arial" w:cs="Arial"/>
          <w:lang w:val="en-US"/>
        </w:rPr>
        <w:t>12</w:t>
      </w:r>
      <w:r w:rsidR="00D92C8A" w:rsidRPr="00EB2595">
        <w:rPr>
          <w:rFonts w:ascii="Arial" w:eastAsiaTheme="minorHAnsi" w:hAnsi="Arial" w:cs="Arial"/>
          <w:lang w:val="vi-VN"/>
        </w:rPr>
        <w:t xml:space="preserve"> năm 2024</w:t>
      </w:r>
      <w:r w:rsidRPr="00EB2595">
        <w:rPr>
          <w:rFonts w:ascii="Arial" w:eastAsiaTheme="minorHAnsi" w:hAnsi="Arial" w:cs="Arial"/>
          <w:lang w:val="vi-VN"/>
        </w:rPr>
        <w:t xml:space="preserve">, Quỹ </w:t>
      </w:r>
      <w:r w:rsidR="005B4407" w:rsidRPr="00EB2595">
        <w:rPr>
          <w:rFonts w:ascii="Arial" w:eastAsiaTheme="minorHAnsi" w:hAnsi="Arial" w:cs="Arial"/>
          <w:lang w:val="vi-VN"/>
        </w:rPr>
        <w:t xml:space="preserve">đã </w:t>
      </w:r>
      <w:r w:rsidR="00670A39" w:rsidRPr="00EB2595">
        <w:rPr>
          <w:rFonts w:ascii="Arial" w:eastAsiaTheme="minorHAnsi" w:hAnsi="Arial" w:cs="Arial"/>
          <w:lang w:val="vi-VN"/>
        </w:rPr>
        <w:t xml:space="preserve">thực hiện lưu ký tài sản theo </w:t>
      </w:r>
      <w:r w:rsidR="00327AAE" w:rsidRPr="00EB2595">
        <w:rPr>
          <w:rFonts w:ascii="Arial" w:eastAsiaTheme="minorHAnsi" w:hAnsi="Arial" w:cs="Arial"/>
          <w:lang w:val="vi-VN"/>
        </w:rPr>
        <w:t xml:space="preserve">các quy định </w:t>
      </w:r>
      <w:r w:rsidR="007A7B30" w:rsidRPr="00EB2595">
        <w:rPr>
          <w:rFonts w:ascii="Arial" w:eastAsiaTheme="minorHAnsi" w:hAnsi="Arial" w:cs="Arial"/>
          <w:lang w:val="vi-VN"/>
        </w:rPr>
        <w:t xml:space="preserve">pháp luật </w:t>
      </w:r>
      <w:r w:rsidR="005B4407" w:rsidRPr="00EB2595">
        <w:rPr>
          <w:rFonts w:ascii="Arial" w:eastAsiaTheme="minorHAnsi" w:hAnsi="Arial" w:cs="Arial"/>
          <w:lang w:val="vi-VN"/>
        </w:rPr>
        <w:t>hiện hành</w:t>
      </w:r>
      <w:r w:rsidR="00327AAE" w:rsidRPr="00EB2595">
        <w:rPr>
          <w:rFonts w:ascii="Arial" w:eastAsiaTheme="minorHAnsi" w:hAnsi="Arial" w:cs="Arial"/>
          <w:lang w:val="vi-VN"/>
        </w:rPr>
        <w:t>.</w:t>
      </w:r>
    </w:p>
    <w:p w14:paraId="13D6700A" w14:textId="636063A8" w:rsidR="00460AAB" w:rsidRPr="00EB2595" w:rsidRDefault="00460AAB" w:rsidP="00C35B1D">
      <w:pPr>
        <w:spacing w:after="60" w:line="360" w:lineRule="auto"/>
        <w:jc w:val="both"/>
        <w:rPr>
          <w:rFonts w:ascii="Arial" w:hAnsi="Arial" w:cs="Arial"/>
          <w:color w:val="auto"/>
          <w:sz w:val="20"/>
          <w:szCs w:val="20"/>
        </w:rPr>
      </w:pPr>
      <w:r w:rsidRPr="00EB2595">
        <w:rPr>
          <w:rFonts w:ascii="Arial" w:hAnsi="Arial" w:cs="Arial"/>
          <w:color w:val="auto"/>
          <w:sz w:val="20"/>
          <w:szCs w:val="20"/>
        </w:rPr>
        <w:t>c) Việc đầu tư tuân thủ các hạn chế về đầu tư, hạn chế về vay theo quy định pháp luật, quy định tại Điều lệ quỹ, Bản cáo bạch;</w:t>
      </w:r>
    </w:p>
    <w:p w14:paraId="4FCA360B" w14:textId="77777777" w:rsidR="00E8720A" w:rsidRPr="00E8720A" w:rsidRDefault="00E8720A" w:rsidP="00E8720A">
      <w:pPr>
        <w:keepNext/>
        <w:spacing w:before="120" w:after="120" w:line="360" w:lineRule="auto"/>
        <w:jc w:val="both"/>
        <w:rPr>
          <w:rFonts w:ascii="Arial" w:hAnsi="Arial" w:cs="Arial"/>
          <w:sz w:val="20"/>
          <w:szCs w:val="20"/>
          <w:lang w:val="nl-NL"/>
        </w:rPr>
      </w:pPr>
      <w:bookmarkStart w:id="1" w:name="_Hlk45531885"/>
      <w:r w:rsidRPr="00E8720A">
        <w:rPr>
          <w:rFonts w:ascii="Arial" w:hAnsi="Arial" w:cs="Arial"/>
          <w:sz w:val="20"/>
          <w:szCs w:val="20"/>
          <w:lang w:val="nl-NL"/>
        </w:rPr>
        <w:t>Trong quá trình giám sát hoạt động đầu tư và các giao dịch tài sản của Quỹ cho giai đoạn từ ngày 13</w:t>
      </w:r>
      <w:r w:rsidRPr="00E8720A">
        <w:rPr>
          <w:rFonts w:ascii="Arial" w:hAnsi="Arial" w:cs="Arial"/>
          <w:sz w:val="20"/>
          <w:szCs w:val="20"/>
        </w:rPr>
        <w:t xml:space="preserve"> tháng </w:t>
      </w:r>
      <w:r w:rsidRPr="00E8720A">
        <w:rPr>
          <w:rFonts w:ascii="Arial" w:hAnsi="Arial" w:cs="Arial"/>
          <w:sz w:val="20"/>
          <w:szCs w:val="20"/>
          <w:lang w:val="nl-NL"/>
        </w:rPr>
        <w:t>11</w:t>
      </w:r>
      <w:r w:rsidRPr="00E8720A">
        <w:rPr>
          <w:rFonts w:ascii="Arial" w:hAnsi="Arial" w:cs="Arial"/>
          <w:sz w:val="20"/>
          <w:szCs w:val="20"/>
        </w:rPr>
        <w:t xml:space="preserve"> năm </w:t>
      </w:r>
      <w:r w:rsidRPr="00E8720A">
        <w:rPr>
          <w:rFonts w:ascii="Arial" w:hAnsi="Arial" w:cs="Arial"/>
          <w:sz w:val="20"/>
          <w:szCs w:val="20"/>
          <w:lang w:val="nl-NL"/>
        </w:rPr>
        <w:t>2024 - Ngày thành lập Quỹ</w:t>
      </w:r>
      <w:r w:rsidRPr="00E8720A">
        <w:rPr>
          <w:rFonts w:ascii="Arial" w:hAnsi="Arial" w:cs="Arial"/>
          <w:sz w:val="20"/>
          <w:szCs w:val="20"/>
        </w:rPr>
        <w:t xml:space="preserve"> </w:t>
      </w:r>
      <w:r w:rsidRPr="00E8720A">
        <w:rPr>
          <w:rFonts w:ascii="Arial" w:hAnsi="Arial" w:cs="Arial"/>
          <w:sz w:val="20"/>
          <w:szCs w:val="20"/>
          <w:lang w:val="nl-NL"/>
        </w:rPr>
        <w:t>đến ngày 31</w:t>
      </w:r>
      <w:r w:rsidRPr="00E8720A">
        <w:rPr>
          <w:rFonts w:ascii="Arial" w:hAnsi="Arial" w:cs="Arial"/>
          <w:sz w:val="20"/>
          <w:szCs w:val="20"/>
        </w:rPr>
        <w:t xml:space="preserve"> </w:t>
      </w:r>
      <w:r w:rsidRPr="00E8720A">
        <w:rPr>
          <w:rFonts w:ascii="Arial" w:hAnsi="Arial" w:cs="Arial"/>
          <w:sz w:val="20"/>
          <w:szCs w:val="20"/>
          <w:lang w:val="nl-NL"/>
        </w:rPr>
        <w:t>tháng 12</w:t>
      </w:r>
      <w:r w:rsidRPr="00E8720A">
        <w:rPr>
          <w:rFonts w:ascii="Arial" w:hAnsi="Arial" w:cs="Arial"/>
          <w:sz w:val="20"/>
          <w:szCs w:val="20"/>
        </w:rPr>
        <w:t xml:space="preserve"> n</w:t>
      </w:r>
      <w:r w:rsidRPr="00E8720A">
        <w:rPr>
          <w:rFonts w:ascii="Arial" w:hAnsi="Arial" w:cs="Arial"/>
          <w:sz w:val="20"/>
          <w:szCs w:val="20"/>
          <w:lang w:val="nl-NL"/>
        </w:rPr>
        <w:t xml:space="preserve">ăm 2024, </w:t>
      </w:r>
      <w:bookmarkEnd w:id="1"/>
      <w:r w:rsidRPr="00E8720A">
        <w:rPr>
          <w:rFonts w:ascii="Arial" w:hAnsi="Arial" w:cs="Arial"/>
          <w:sz w:val="20"/>
          <w:szCs w:val="20"/>
          <w:lang w:val="nl-NL"/>
        </w:rPr>
        <w:t>cơ cấu danh mục đầu tư của Quỹ đã phát sinh sai lệch so với các quy định tại các văn bản pháp luật chứng khoán hiện hành về quỹ mở, Điều lệ Quỹ, Bản cáo bạch của Quỹ và văn bản pháp luật liên quan, cụ thể như sau:</w:t>
      </w:r>
    </w:p>
    <w:p w14:paraId="1B8832E4" w14:textId="77777777" w:rsidR="00E8720A" w:rsidRPr="00E8720A" w:rsidRDefault="00E8720A" w:rsidP="00E8720A">
      <w:pPr>
        <w:pStyle w:val="ListParagraph"/>
        <w:keepNext/>
        <w:numPr>
          <w:ilvl w:val="0"/>
          <w:numId w:val="9"/>
        </w:numPr>
        <w:spacing w:before="120" w:after="120" w:line="360" w:lineRule="auto"/>
        <w:ind w:left="360"/>
        <w:jc w:val="both"/>
        <w:rPr>
          <w:rFonts w:ascii="Arial" w:hAnsi="Arial" w:cs="Arial"/>
          <w:sz w:val="20"/>
          <w:szCs w:val="20"/>
          <w:lang w:val="nl-NL"/>
        </w:rPr>
      </w:pPr>
      <w:r w:rsidRPr="00E8720A">
        <w:rPr>
          <w:rFonts w:ascii="Arial" w:hAnsi="Arial" w:cs="Arial"/>
          <w:sz w:val="20"/>
          <w:szCs w:val="20"/>
          <w:lang w:val="nl-NL"/>
        </w:rPr>
        <w:t xml:space="preserve">Theo Điểm e, Khoản 4, Điều 35, Thông tư 98/2020/TT-BTC ngày 16 tháng 11 năm 2020 hướng dẫn hoạt động và quản lý quỹ đầu tư chứng khoán (“Thông tư 98”) và Điều 11, Điều lệ Quỹ quy định cơ cấu danh mục đầu tư của quỹ mở phải đảm bảo: “Tổng giá trị các hạng mục đầu tư lớn trong danh mục đầu tư của quỹ không được vượt quá 40% tổng giá trị tài sản của Quỹ.” Trường hợp phát sinh sai </w:t>
      </w:r>
      <w:r w:rsidRPr="00E8720A">
        <w:rPr>
          <w:rFonts w:ascii="Arial" w:hAnsi="Arial" w:cs="Arial"/>
          <w:sz w:val="20"/>
          <w:szCs w:val="20"/>
          <w:lang w:val="nl-NL"/>
        </w:rPr>
        <w:lastRenderedPageBreak/>
        <w:t>lệch, Công ty Quản lý Quỹ có nghĩa vụ điều chỉnh lại cơ cấu danh mục đầu tư của Quỹ cho phù hợp với quy định trong thời gian cho phép.</w:t>
      </w:r>
    </w:p>
    <w:p w14:paraId="53152813" w14:textId="77777777" w:rsidR="00E8720A" w:rsidRPr="00E8720A" w:rsidRDefault="00E8720A" w:rsidP="00E8720A">
      <w:pPr>
        <w:pStyle w:val="ListParagraph"/>
        <w:keepNext/>
        <w:spacing w:before="120" w:after="120" w:line="360" w:lineRule="auto"/>
        <w:ind w:left="360"/>
        <w:jc w:val="both"/>
        <w:rPr>
          <w:rFonts w:ascii="Arial" w:hAnsi="Arial" w:cs="Arial"/>
          <w:sz w:val="20"/>
          <w:szCs w:val="20"/>
          <w:lang w:val="nl-NL"/>
        </w:rPr>
      </w:pPr>
      <w:r w:rsidRPr="00E8720A">
        <w:rPr>
          <w:rFonts w:ascii="Arial" w:hAnsi="Arial" w:cs="Arial"/>
          <w:sz w:val="20"/>
          <w:szCs w:val="20"/>
          <w:lang w:val="nl-NL"/>
        </w:rPr>
        <w:t>Trong</w:t>
      </w:r>
      <w:r w:rsidRPr="00E8720A">
        <w:rPr>
          <w:rFonts w:ascii="Arial" w:hAnsi="Arial" w:cs="Arial"/>
          <w:sz w:val="20"/>
          <w:szCs w:val="20"/>
          <w:lang w:val="vi-VN"/>
        </w:rPr>
        <w:t xml:space="preserve"> kỳ</w:t>
      </w:r>
      <w:r w:rsidRPr="00E8720A">
        <w:rPr>
          <w:rFonts w:ascii="Arial" w:hAnsi="Arial" w:cs="Arial"/>
          <w:sz w:val="20"/>
          <w:szCs w:val="20"/>
          <w:lang w:val="nl-NL"/>
        </w:rPr>
        <w:t xml:space="preserve">, tỷ lệ đầu tư vào các hạng mục đầu tư lớn trong danh mục đầu tư của Quỹ đã phát sinh sai lệch so với hạn mức 40% tổng giá trị tài sản của Quỹ </w:t>
      </w:r>
      <w:r w:rsidRPr="00E8720A">
        <w:rPr>
          <w:rFonts w:ascii="Arial" w:hAnsi="Arial" w:cs="Arial"/>
          <w:sz w:val="20"/>
          <w:szCs w:val="20"/>
          <w:lang w:val="vi-VN"/>
        </w:rPr>
        <w:t xml:space="preserve">do thời gian hoạt động của Quỹ chưa quá 06 tháng kể từ ngày được cấp Giấy chứng nhận đăng ký lập </w:t>
      </w:r>
      <w:r w:rsidRPr="00E8720A">
        <w:rPr>
          <w:rFonts w:ascii="Arial" w:hAnsi="Arial" w:cs="Arial"/>
          <w:sz w:val="20"/>
          <w:szCs w:val="20"/>
          <w:lang w:val="en-US"/>
        </w:rPr>
        <w:t>Q</w:t>
      </w:r>
      <w:r w:rsidRPr="00E8720A">
        <w:rPr>
          <w:rFonts w:ascii="Arial" w:hAnsi="Arial" w:cs="Arial"/>
          <w:sz w:val="20"/>
          <w:szCs w:val="20"/>
          <w:lang w:val="vi-VN"/>
        </w:rPr>
        <w:t>uỹ</w:t>
      </w:r>
      <w:r w:rsidRPr="00E8720A">
        <w:rPr>
          <w:rFonts w:ascii="Arial" w:hAnsi="Arial" w:cs="Arial"/>
          <w:sz w:val="20"/>
          <w:szCs w:val="20"/>
          <w:lang w:val="nl-NL"/>
        </w:rPr>
        <w:t>.</w:t>
      </w:r>
    </w:p>
    <w:p w14:paraId="6DAF332C" w14:textId="77777777" w:rsidR="00E8720A" w:rsidRPr="00E8720A" w:rsidRDefault="00E8720A" w:rsidP="00E8720A">
      <w:pPr>
        <w:pStyle w:val="ListParagraph"/>
        <w:keepNext/>
        <w:spacing w:before="120" w:after="120" w:line="360" w:lineRule="auto"/>
        <w:ind w:left="360"/>
        <w:jc w:val="both"/>
        <w:rPr>
          <w:rFonts w:ascii="Arial" w:hAnsi="Arial" w:cs="Arial"/>
          <w:sz w:val="20"/>
          <w:szCs w:val="20"/>
          <w:lang w:val="nl-NL"/>
        </w:rPr>
      </w:pPr>
      <w:r w:rsidRPr="00E8720A">
        <w:rPr>
          <w:rFonts w:ascii="Arial" w:hAnsi="Arial" w:cs="Arial"/>
          <w:sz w:val="20"/>
          <w:szCs w:val="20"/>
          <w:lang w:val="nl-NL"/>
        </w:rPr>
        <w:t xml:space="preserve">Công ty Quản lý Quỹ đã thực hiện điều chỉnh lại cơ cấu danh mục đầu tư của Quỹ để đáp ứng hạn mức đầu tư theo quy định trong thời gian cho phép. </w:t>
      </w:r>
    </w:p>
    <w:p w14:paraId="754B09C1" w14:textId="77777777" w:rsidR="00E8720A" w:rsidRPr="00E8720A" w:rsidRDefault="00E8720A" w:rsidP="00E8720A">
      <w:pPr>
        <w:pStyle w:val="ListParagraph"/>
        <w:keepNext/>
        <w:spacing w:before="120" w:after="120" w:line="360" w:lineRule="auto"/>
        <w:ind w:left="360"/>
        <w:contextualSpacing w:val="0"/>
        <w:jc w:val="both"/>
        <w:rPr>
          <w:rFonts w:ascii="Arial" w:hAnsi="Arial" w:cs="Arial"/>
          <w:sz w:val="20"/>
          <w:szCs w:val="20"/>
          <w:lang w:val="nl-NL"/>
        </w:rPr>
      </w:pPr>
      <w:r w:rsidRPr="00E8720A">
        <w:rPr>
          <w:rFonts w:ascii="Arial" w:hAnsi="Arial" w:cs="Arial"/>
          <w:sz w:val="20"/>
          <w:szCs w:val="20"/>
          <w:lang w:val="nl-NL"/>
        </w:rPr>
        <w:t>Tại ngày 31 tháng 12 năm 2024, cơ cấu danh mục đầu tư của Quỹ đã tuân thủ quy định tại Điểm e, Khoản 4, Điều 35, Thông tư 98 và Điều 11, Điều lệ Quỹ.</w:t>
      </w:r>
    </w:p>
    <w:p w14:paraId="5AC22B2C" w14:textId="77777777" w:rsidR="00E8720A" w:rsidRPr="00E8720A" w:rsidRDefault="00E8720A" w:rsidP="00E8720A">
      <w:pPr>
        <w:pStyle w:val="ListParagraph"/>
        <w:numPr>
          <w:ilvl w:val="0"/>
          <w:numId w:val="8"/>
        </w:numPr>
        <w:spacing w:before="120" w:after="120" w:line="360" w:lineRule="auto"/>
        <w:ind w:left="360"/>
        <w:jc w:val="both"/>
        <w:rPr>
          <w:rFonts w:ascii="Arial" w:hAnsi="Arial" w:cs="Arial"/>
          <w:sz w:val="20"/>
          <w:szCs w:val="20"/>
          <w:lang w:val="nl-NL"/>
        </w:rPr>
      </w:pPr>
      <w:r w:rsidRPr="00E8720A">
        <w:rPr>
          <w:rFonts w:ascii="Arial" w:hAnsi="Arial" w:cs="Arial"/>
          <w:sz w:val="20"/>
          <w:szCs w:val="20"/>
          <w:lang w:val="nl-NL"/>
        </w:rPr>
        <w:t>Theo Điểm l, Khoản 4, Điều 35, Thông tư 98 và Điều 11, Điều lệ Quỹ quy định cơ cấu danh mục đầu tư của quỹ mở phải đảm bảo: “Phải có chứng khoán của ít nhất 06 tổ chức phát hành”</w:t>
      </w:r>
      <w:r w:rsidRPr="00E8720A">
        <w:rPr>
          <w:rFonts w:ascii="Arial" w:hAnsi="Arial" w:cs="Arial"/>
          <w:sz w:val="20"/>
          <w:szCs w:val="20"/>
          <w:lang w:val="vi-VN"/>
        </w:rPr>
        <w:t>.</w:t>
      </w:r>
      <w:r w:rsidRPr="00E8720A">
        <w:rPr>
          <w:rFonts w:ascii="Arial" w:hAnsi="Arial" w:cs="Arial"/>
          <w:sz w:val="20"/>
          <w:szCs w:val="20"/>
          <w:lang w:val="nl-NL"/>
        </w:rPr>
        <w:t xml:space="preserve"> Trường hợp phát sinh sai lệch, Công ty Quản lý Quỹ có nghĩa vụ điều chỉnh lại cơ cấu danh mục đầu tư của Quỹ cho phù hợp với quy định trong thời gian cho phép.</w:t>
      </w:r>
    </w:p>
    <w:p w14:paraId="65FF0CC6" w14:textId="77777777" w:rsidR="00E8720A" w:rsidRPr="00E8720A" w:rsidRDefault="00E8720A" w:rsidP="00E8720A">
      <w:pPr>
        <w:pStyle w:val="ListParagraph"/>
        <w:spacing w:before="120" w:after="120" w:line="360" w:lineRule="auto"/>
        <w:ind w:left="360"/>
        <w:jc w:val="both"/>
        <w:rPr>
          <w:rFonts w:ascii="Arial" w:hAnsi="Arial" w:cs="Arial"/>
          <w:sz w:val="20"/>
          <w:szCs w:val="20"/>
          <w:lang w:val="nl-NL"/>
        </w:rPr>
      </w:pPr>
      <w:r w:rsidRPr="00E8720A">
        <w:rPr>
          <w:rFonts w:ascii="Arial" w:hAnsi="Arial" w:cs="Arial"/>
          <w:sz w:val="20"/>
          <w:szCs w:val="20"/>
          <w:lang w:val="nl-NL"/>
        </w:rPr>
        <w:t>Trong</w:t>
      </w:r>
      <w:r w:rsidRPr="00E8720A">
        <w:rPr>
          <w:rFonts w:ascii="Arial" w:hAnsi="Arial" w:cs="Arial"/>
          <w:sz w:val="20"/>
          <w:szCs w:val="20"/>
          <w:lang w:val="vi-VN"/>
        </w:rPr>
        <w:t xml:space="preserve"> kỳ</w:t>
      </w:r>
      <w:r w:rsidRPr="00E8720A">
        <w:rPr>
          <w:rFonts w:ascii="Arial" w:hAnsi="Arial" w:cs="Arial"/>
          <w:sz w:val="20"/>
          <w:szCs w:val="20"/>
          <w:lang w:val="nl-NL"/>
        </w:rPr>
        <w:t>, cơ cấu danh mục đầu tư của Quỹ đã phát sinh sai lệch so với quy định  trên.</w:t>
      </w:r>
    </w:p>
    <w:p w14:paraId="049A0750" w14:textId="77777777" w:rsidR="00E8720A" w:rsidRPr="00E8720A" w:rsidRDefault="00E8720A" w:rsidP="00E8720A">
      <w:pPr>
        <w:pStyle w:val="ListParagraph"/>
        <w:spacing w:before="120" w:after="120" w:line="360" w:lineRule="auto"/>
        <w:ind w:left="360"/>
        <w:jc w:val="both"/>
        <w:rPr>
          <w:rFonts w:ascii="Arial" w:hAnsi="Arial" w:cs="Arial"/>
          <w:sz w:val="20"/>
          <w:szCs w:val="20"/>
          <w:lang w:val="nl-NL"/>
        </w:rPr>
      </w:pPr>
      <w:r w:rsidRPr="00E8720A">
        <w:rPr>
          <w:rFonts w:ascii="Arial" w:hAnsi="Arial" w:cs="Arial"/>
          <w:sz w:val="20"/>
          <w:szCs w:val="20"/>
          <w:lang w:val="nl-NL"/>
        </w:rPr>
        <w:t xml:space="preserve">Công ty Quản lý Quỹ đã thực hiện điều chỉnh lại cơ cấu danh mục đầu tư của Quỹ để đáp ứng theo quy định. </w:t>
      </w:r>
    </w:p>
    <w:p w14:paraId="24173373" w14:textId="77777777" w:rsidR="00E8720A" w:rsidRPr="00E8720A" w:rsidRDefault="00E8720A" w:rsidP="00E8720A">
      <w:pPr>
        <w:pStyle w:val="ListParagraph"/>
        <w:spacing w:before="120" w:after="120" w:line="360" w:lineRule="auto"/>
        <w:ind w:left="360"/>
        <w:contextualSpacing w:val="0"/>
        <w:jc w:val="both"/>
        <w:rPr>
          <w:rFonts w:ascii="Arial" w:hAnsi="Arial" w:cs="Arial"/>
          <w:sz w:val="20"/>
          <w:szCs w:val="20"/>
          <w:lang w:val="nl-NL"/>
        </w:rPr>
      </w:pPr>
      <w:r w:rsidRPr="00E8720A">
        <w:rPr>
          <w:rFonts w:ascii="Arial" w:hAnsi="Arial" w:cs="Arial"/>
          <w:sz w:val="20"/>
          <w:szCs w:val="20"/>
          <w:lang w:val="nl-NL"/>
        </w:rPr>
        <w:t>Tại ngày 31</w:t>
      </w:r>
      <w:r w:rsidRPr="00E8720A">
        <w:rPr>
          <w:rFonts w:ascii="Arial" w:hAnsi="Arial" w:cs="Arial"/>
          <w:sz w:val="20"/>
          <w:szCs w:val="20"/>
          <w:lang w:val="vi-VN"/>
        </w:rPr>
        <w:t xml:space="preserve"> </w:t>
      </w:r>
      <w:r w:rsidRPr="00E8720A">
        <w:rPr>
          <w:rFonts w:ascii="Arial" w:hAnsi="Arial" w:cs="Arial"/>
          <w:sz w:val="20"/>
          <w:szCs w:val="20"/>
          <w:lang w:val="nl-NL"/>
        </w:rPr>
        <w:t>tháng 12</w:t>
      </w:r>
      <w:r w:rsidRPr="00E8720A">
        <w:rPr>
          <w:rFonts w:ascii="Arial" w:hAnsi="Arial" w:cs="Arial"/>
          <w:sz w:val="20"/>
          <w:szCs w:val="20"/>
          <w:lang w:val="vi-VN"/>
        </w:rPr>
        <w:t xml:space="preserve"> n</w:t>
      </w:r>
      <w:r w:rsidRPr="00E8720A">
        <w:rPr>
          <w:rFonts w:ascii="Arial" w:hAnsi="Arial" w:cs="Arial"/>
          <w:sz w:val="20"/>
          <w:szCs w:val="20"/>
          <w:lang w:val="nl-NL"/>
        </w:rPr>
        <w:t>ăm 2024, cơ cấu danh mục đầu tư của Quỹ đã tuân thủ quy định tại Điểm l, Khoản 4, Điều 35, Thông tư 98 và Điều 11, Điều lệ Quỹ.</w:t>
      </w:r>
    </w:p>
    <w:p w14:paraId="3DD594BA" w14:textId="7599189A" w:rsidR="00264E8F" w:rsidRPr="00EB2595" w:rsidRDefault="009A601C" w:rsidP="00C35B1D">
      <w:pPr>
        <w:spacing w:after="60" w:line="360" w:lineRule="auto"/>
        <w:jc w:val="both"/>
        <w:rPr>
          <w:rFonts w:ascii="Arial" w:hAnsi="Arial" w:cs="Arial"/>
          <w:color w:val="auto"/>
          <w:sz w:val="20"/>
          <w:szCs w:val="20"/>
        </w:rPr>
      </w:pPr>
      <w:r w:rsidRPr="00EB2595">
        <w:rPr>
          <w:rFonts w:ascii="Arial" w:eastAsiaTheme="minorHAnsi" w:hAnsi="Arial" w:cs="Arial"/>
          <w:color w:val="auto"/>
          <w:sz w:val="20"/>
          <w:szCs w:val="20"/>
          <w:lang w:eastAsia="en-US"/>
        </w:rPr>
        <w:t xml:space="preserve">Từ </w:t>
      </w:r>
      <w:r w:rsidR="00E8720A" w:rsidRPr="00E8720A">
        <w:rPr>
          <w:rFonts w:ascii="Arial" w:eastAsiaTheme="minorHAnsi" w:hAnsi="Arial" w:cs="Arial"/>
          <w:color w:val="auto"/>
          <w:sz w:val="20"/>
          <w:szCs w:val="20"/>
          <w:lang w:eastAsia="en-US"/>
        </w:rPr>
        <w:t>ngày 13 tháng 11 năm 2024 - Ngày thành lập Quỹ</w:t>
      </w:r>
      <w:r w:rsidR="00D92C8A" w:rsidRPr="00EB2595">
        <w:rPr>
          <w:rFonts w:ascii="Arial" w:eastAsiaTheme="minorHAnsi" w:hAnsi="Arial" w:cs="Arial"/>
          <w:color w:val="auto"/>
          <w:sz w:val="20"/>
          <w:szCs w:val="20"/>
          <w:lang w:eastAsia="en-US"/>
        </w:rPr>
        <w:t xml:space="preserve"> đến ngày </w:t>
      </w:r>
      <w:r w:rsidR="00E8720A">
        <w:rPr>
          <w:rFonts w:ascii="Arial" w:eastAsiaTheme="minorHAnsi" w:hAnsi="Arial" w:cs="Arial"/>
          <w:color w:val="auto"/>
          <w:sz w:val="20"/>
          <w:szCs w:val="20"/>
          <w:lang w:eastAsia="en-US"/>
        </w:rPr>
        <w:t>31</w:t>
      </w:r>
      <w:r w:rsidR="00D92C8A" w:rsidRPr="00EB2595">
        <w:rPr>
          <w:rFonts w:ascii="Arial" w:eastAsiaTheme="minorHAnsi" w:hAnsi="Arial" w:cs="Arial"/>
          <w:color w:val="auto"/>
          <w:sz w:val="20"/>
          <w:szCs w:val="20"/>
          <w:lang w:eastAsia="en-US"/>
        </w:rPr>
        <w:t xml:space="preserve"> tháng </w:t>
      </w:r>
      <w:r w:rsidR="00E8720A">
        <w:rPr>
          <w:rFonts w:ascii="Arial" w:eastAsiaTheme="minorHAnsi" w:hAnsi="Arial" w:cs="Arial"/>
          <w:color w:val="auto"/>
          <w:sz w:val="20"/>
          <w:szCs w:val="20"/>
          <w:lang w:eastAsia="en-US"/>
        </w:rPr>
        <w:t>12</w:t>
      </w:r>
      <w:r w:rsidR="00D92C8A" w:rsidRPr="00EB2595">
        <w:rPr>
          <w:rFonts w:ascii="Arial" w:eastAsiaTheme="minorHAnsi" w:hAnsi="Arial" w:cs="Arial"/>
          <w:color w:val="auto"/>
          <w:sz w:val="20"/>
          <w:szCs w:val="20"/>
          <w:lang w:eastAsia="en-US"/>
        </w:rPr>
        <w:t xml:space="preserve"> năm 2024</w:t>
      </w:r>
      <w:r w:rsidRPr="00EB2595">
        <w:rPr>
          <w:rFonts w:ascii="Arial" w:eastAsiaTheme="minorHAnsi" w:hAnsi="Arial" w:cs="Arial"/>
          <w:color w:val="auto"/>
          <w:sz w:val="20"/>
          <w:szCs w:val="20"/>
          <w:lang w:eastAsia="en-US"/>
        </w:rPr>
        <w:t>, Quỹ không có bất kỳ hợp đồng vay và cho vay.</w:t>
      </w:r>
    </w:p>
    <w:p w14:paraId="2494FCA9" w14:textId="2278C213" w:rsidR="00460AAB" w:rsidRPr="00EB2595" w:rsidRDefault="00460AAB" w:rsidP="00C35B1D">
      <w:pPr>
        <w:spacing w:after="60" w:line="360" w:lineRule="auto"/>
        <w:jc w:val="both"/>
        <w:rPr>
          <w:rFonts w:ascii="Arial" w:hAnsi="Arial" w:cs="Arial"/>
          <w:color w:val="auto"/>
          <w:sz w:val="20"/>
          <w:szCs w:val="20"/>
        </w:rPr>
      </w:pPr>
      <w:r w:rsidRPr="00EB2595">
        <w:rPr>
          <w:rFonts w:ascii="Arial" w:hAnsi="Arial" w:cs="Arial"/>
          <w:color w:val="auto"/>
          <w:sz w:val="20"/>
          <w:szCs w:val="20"/>
        </w:rPr>
        <w:t xml:space="preserve">d) Việc xác định giá trị tài sản ròng theo quy định pháp luật, quy định tại Điều lệ quỹ, Bản cáo </w:t>
      </w:r>
      <w:r w:rsidR="009A601C" w:rsidRPr="00EB2595">
        <w:rPr>
          <w:rFonts w:ascii="Arial" w:hAnsi="Arial" w:cs="Arial"/>
          <w:color w:val="auto"/>
          <w:sz w:val="20"/>
          <w:szCs w:val="20"/>
        </w:rPr>
        <w:t xml:space="preserve">bạch, </w:t>
      </w:r>
      <w:bookmarkStart w:id="2" w:name="_Hlk140501321"/>
      <w:r w:rsidR="009A601C" w:rsidRPr="00EB2595">
        <w:rPr>
          <w:rFonts w:ascii="Arial" w:hAnsi="Arial" w:cs="Arial"/>
          <w:color w:val="auto"/>
          <w:sz w:val="20"/>
          <w:szCs w:val="20"/>
        </w:rPr>
        <w:t>Sổ tay định giá</w:t>
      </w:r>
      <w:bookmarkEnd w:id="2"/>
      <w:r w:rsidR="00327AAE" w:rsidRPr="00EB2595">
        <w:rPr>
          <w:rFonts w:ascii="Arial" w:hAnsi="Arial" w:cs="Arial"/>
          <w:color w:val="auto"/>
          <w:sz w:val="20"/>
          <w:szCs w:val="20"/>
        </w:rPr>
        <w:t xml:space="preserve">: </w:t>
      </w:r>
      <w:r w:rsidR="00327AAE" w:rsidRPr="00EB2595">
        <w:rPr>
          <w:rFonts w:ascii="Arial" w:eastAsiaTheme="minorHAnsi" w:hAnsi="Arial" w:cs="Arial"/>
          <w:color w:val="auto"/>
          <w:sz w:val="20"/>
          <w:szCs w:val="20"/>
        </w:rPr>
        <w:t xml:space="preserve">việc xác định giá trị tài sản ròng của Quỹ đã tuân thủ theo quy định pháp luật, quy định tại Điều lệ Quỹ, Bản cáo </w:t>
      </w:r>
      <w:r w:rsidR="009A601C" w:rsidRPr="00EB2595">
        <w:rPr>
          <w:rFonts w:ascii="Arial" w:eastAsiaTheme="minorHAnsi" w:hAnsi="Arial" w:cs="Arial"/>
          <w:color w:val="auto"/>
          <w:sz w:val="20"/>
          <w:szCs w:val="20"/>
        </w:rPr>
        <w:t>bạch, Sổ tay định giá đã được Ban Đại diện Quỹ phê duyệt</w:t>
      </w:r>
      <w:r w:rsidR="00327AAE" w:rsidRPr="00EB2595">
        <w:rPr>
          <w:rFonts w:ascii="Arial" w:eastAsiaTheme="minorHAnsi" w:hAnsi="Arial" w:cs="Arial"/>
          <w:color w:val="auto"/>
          <w:sz w:val="20"/>
          <w:szCs w:val="20"/>
        </w:rPr>
        <w:t xml:space="preserve"> và các văn bản pháp luật có liên quan.</w:t>
      </w:r>
    </w:p>
    <w:p w14:paraId="0854A4B4" w14:textId="66E1ECEF" w:rsidR="00EB2595" w:rsidRPr="00EB2595" w:rsidRDefault="00460AAB" w:rsidP="00E8720A">
      <w:pPr>
        <w:pStyle w:val="BodyText"/>
        <w:spacing w:after="60" w:line="360" w:lineRule="auto"/>
        <w:rPr>
          <w:rFonts w:ascii="Arial" w:eastAsiaTheme="minorHAnsi" w:hAnsi="Arial" w:cs="Arial"/>
          <w:lang w:val="vi-VN"/>
        </w:rPr>
      </w:pPr>
      <w:r w:rsidRPr="00EB2595">
        <w:rPr>
          <w:rFonts w:ascii="Arial" w:hAnsi="Arial" w:cs="Arial"/>
          <w:lang w:val="vi-VN"/>
        </w:rPr>
        <w:t xml:space="preserve">e) </w:t>
      </w:r>
      <w:r w:rsidR="00E8720A" w:rsidRPr="00E8720A">
        <w:rPr>
          <w:rFonts w:ascii="Arial" w:hAnsi="Arial" w:cs="Arial"/>
          <w:lang w:val="vi-VN"/>
        </w:rPr>
        <w:t>Việc phát hành bổ sung chứng chỉ quỹ, mua lại chứng chỉ quỹ theo quy định pháp luật, quy định tại Điều lệ quỹ, Bản cáo bạch: việc phát hành bổ sung chứng chỉ quỹ, mua lại chứng chỉ quỹ đã tuân thủ theo quy định pháp luật liên quan, quy định tại Điều lệ Quỹ, Bản cáo bạch.</w:t>
      </w:r>
    </w:p>
    <w:p w14:paraId="57CB5DE7" w14:textId="7FCF2F2B" w:rsidR="005E6BA7" w:rsidRPr="00EB2595" w:rsidRDefault="005A3186" w:rsidP="00C35B1D">
      <w:pPr>
        <w:spacing w:after="60" w:line="360" w:lineRule="auto"/>
        <w:jc w:val="both"/>
        <w:rPr>
          <w:rFonts w:ascii="Arial" w:hAnsi="Arial" w:cs="Arial"/>
          <w:color w:val="auto"/>
          <w:sz w:val="20"/>
          <w:szCs w:val="20"/>
        </w:rPr>
      </w:pPr>
      <w:r w:rsidRPr="00EB2595">
        <w:rPr>
          <w:rFonts w:ascii="Arial" w:hAnsi="Arial" w:cs="Arial"/>
          <w:color w:val="auto"/>
          <w:sz w:val="20"/>
          <w:szCs w:val="20"/>
        </w:rPr>
        <w:t>f</w:t>
      </w:r>
      <w:r w:rsidR="00460AAB" w:rsidRPr="00EB2595">
        <w:rPr>
          <w:rFonts w:ascii="Arial" w:hAnsi="Arial" w:cs="Arial"/>
          <w:color w:val="auto"/>
          <w:sz w:val="20"/>
          <w:szCs w:val="20"/>
        </w:rPr>
        <w:t>) Việc phân chia lợi nhuận của quỹ</w:t>
      </w:r>
      <w:r w:rsidR="00CF0476" w:rsidRPr="00EB2595">
        <w:rPr>
          <w:rFonts w:ascii="Arial" w:hAnsi="Arial" w:cs="Arial"/>
          <w:color w:val="auto"/>
          <w:sz w:val="20"/>
          <w:szCs w:val="20"/>
        </w:rPr>
        <w:t>:</w:t>
      </w:r>
      <w:r w:rsidR="00327AAE" w:rsidRPr="00EB2595">
        <w:rPr>
          <w:rFonts w:ascii="Arial" w:hAnsi="Arial" w:cs="Arial"/>
          <w:color w:val="auto"/>
          <w:sz w:val="20"/>
          <w:szCs w:val="20"/>
        </w:rPr>
        <w:t xml:space="preserve"> từ </w:t>
      </w:r>
      <w:r w:rsidR="00E8720A" w:rsidRPr="00E8720A">
        <w:rPr>
          <w:rFonts w:ascii="Arial" w:hAnsi="Arial" w:cs="Arial"/>
          <w:color w:val="auto"/>
          <w:sz w:val="20"/>
          <w:szCs w:val="20"/>
        </w:rPr>
        <w:t xml:space="preserve">ngày 13 tháng 11 năm 2024 - Ngày thành lập Quỹ </w:t>
      </w:r>
      <w:r w:rsidR="00D92C8A" w:rsidRPr="00EB2595">
        <w:rPr>
          <w:rFonts w:ascii="Arial" w:eastAsiaTheme="minorHAnsi" w:hAnsi="Arial" w:cs="Arial"/>
          <w:color w:val="auto"/>
          <w:sz w:val="20"/>
          <w:szCs w:val="20"/>
        </w:rPr>
        <w:t xml:space="preserve">đến ngày </w:t>
      </w:r>
      <w:r w:rsidR="00E8720A">
        <w:rPr>
          <w:rFonts w:ascii="Arial" w:eastAsiaTheme="minorHAnsi" w:hAnsi="Arial" w:cs="Arial"/>
          <w:color w:val="auto"/>
          <w:sz w:val="20"/>
          <w:szCs w:val="20"/>
        </w:rPr>
        <w:t>31</w:t>
      </w:r>
      <w:r w:rsidR="00D92C8A" w:rsidRPr="00EB2595">
        <w:rPr>
          <w:rFonts w:ascii="Arial" w:eastAsiaTheme="minorHAnsi" w:hAnsi="Arial" w:cs="Arial"/>
          <w:color w:val="auto"/>
          <w:sz w:val="20"/>
          <w:szCs w:val="20"/>
        </w:rPr>
        <w:t xml:space="preserve"> tháng </w:t>
      </w:r>
      <w:r w:rsidR="00E8720A">
        <w:rPr>
          <w:rFonts w:ascii="Arial" w:eastAsiaTheme="minorHAnsi" w:hAnsi="Arial" w:cs="Arial"/>
          <w:color w:val="auto"/>
          <w:sz w:val="20"/>
          <w:szCs w:val="20"/>
        </w:rPr>
        <w:t>12</w:t>
      </w:r>
      <w:r w:rsidR="00D92C8A" w:rsidRPr="00EB2595">
        <w:rPr>
          <w:rFonts w:ascii="Arial" w:eastAsiaTheme="minorHAnsi" w:hAnsi="Arial" w:cs="Arial"/>
          <w:color w:val="auto"/>
          <w:sz w:val="20"/>
          <w:szCs w:val="20"/>
        </w:rPr>
        <w:t xml:space="preserve"> năm 2024</w:t>
      </w:r>
      <w:r w:rsidR="00CF0476" w:rsidRPr="00EB2595">
        <w:rPr>
          <w:rFonts w:ascii="Arial" w:hAnsi="Arial" w:cs="Arial"/>
          <w:color w:val="auto"/>
          <w:sz w:val="20"/>
          <w:szCs w:val="20"/>
        </w:rPr>
        <w:t xml:space="preserve">, Quỹ không thực hiện phân phối lợi nhuận </w:t>
      </w:r>
      <w:r w:rsidR="00680E74" w:rsidRPr="00680E74">
        <w:rPr>
          <w:rFonts w:ascii="Arial" w:hAnsi="Arial" w:cs="Arial"/>
          <w:color w:val="auto"/>
          <w:sz w:val="20"/>
          <w:szCs w:val="20"/>
        </w:rPr>
        <w:t>và không chi trả cổ tức cho nhà đầu tư</w:t>
      </w:r>
      <w:r w:rsidR="00CF0476" w:rsidRPr="00EB2595">
        <w:rPr>
          <w:rFonts w:ascii="Arial" w:hAnsi="Arial" w:cs="Arial"/>
          <w:color w:val="auto"/>
          <w:sz w:val="20"/>
          <w:szCs w:val="20"/>
        </w:rPr>
        <w:t>.</w:t>
      </w:r>
      <w:r w:rsidR="00A6140A" w:rsidRPr="00EB2595">
        <w:rPr>
          <w:rFonts w:ascii="Arial" w:hAnsi="Arial" w:cs="Arial"/>
          <w:color w:val="auto"/>
          <w:sz w:val="20"/>
          <w:szCs w:val="20"/>
        </w:rPr>
        <w:t xml:space="preserve"> </w:t>
      </w:r>
    </w:p>
    <w:sectPr w:rsidR="005E6BA7" w:rsidRPr="00EB2595" w:rsidSect="00C35B1D">
      <w:headerReference w:type="default" r:id="rId7"/>
      <w:pgSz w:w="12240" w:h="15840"/>
      <w:pgMar w:top="21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C5330" w14:textId="77777777" w:rsidR="00F76AB8" w:rsidRDefault="00F76AB8" w:rsidP="00327AAE">
      <w:r>
        <w:separator/>
      </w:r>
    </w:p>
  </w:endnote>
  <w:endnote w:type="continuationSeparator" w:id="0">
    <w:p w14:paraId="6412BF98" w14:textId="77777777" w:rsidR="00F76AB8" w:rsidRDefault="00F76AB8" w:rsidP="0032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89A1A" w14:textId="77777777" w:rsidR="00F76AB8" w:rsidRDefault="00F76AB8" w:rsidP="00327AAE">
      <w:r>
        <w:separator/>
      </w:r>
    </w:p>
  </w:footnote>
  <w:footnote w:type="continuationSeparator" w:id="0">
    <w:p w14:paraId="1E5194F1" w14:textId="77777777" w:rsidR="00F76AB8" w:rsidRDefault="00F76AB8" w:rsidP="0032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A355" w14:textId="080A2E4F" w:rsidR="00327AAE" w:rsidRDefault="00327AAE">
    <w:pPr>
      <w:pStyle w:val="Header"/>
    </w:pPr>
    <w:r>
      <w:rPr>
        <w:noProof/>
      </w:rPr>
      <mc:AlternateContent>
        <mc:Choice Requires="wps">
          <w:drawing>
            <wp:anchor distT="0" distB="0" distL="114300" distR="114300" simplePos="0" relativeHeight="251659264" behindDoc="0" locked="0" layoutInCell="0" allowOverlap="1" wp14:anchorId="099F4A4B" wp14:editId="0D93BC96">
              <wp:simplePos x="0" y="0"/>
              <wp:positionH relativeFrom="page">
                <wp:posOffset>0</wp:posOffset>
              </wp:positionH>
              <wp:positionV relativeFrom="page">
                <wp:posOffset>190500</wp:posOffset>
              </wp:positionV>
              <wp:extent cx="7772400" cy="266700"/>
              <wp:effectExtent l="0" t="0" r="0" b="0"/>
              <wp:wrapNone/>
              <wp:docPr id="1" name="MSIPCM5f5b401382d835106c9ca74b" descr="{&quot;HashCode&quot;:424497481,&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1B6140" w14:textId="58D8B133" w:rsidR="00327AAE" w:rsidRPr="00327AAE" w:rsidRDefault="00327AAE" w:rsidP="00327AAE">
                          <w:pPr>
                            <w:rPr>
                              <w:rFonts w:ascii="Arial" w:hAnsi="Arial" w:cs="Arial"/>
                              <w:color w:val="A80000"/>
                              <w:sz w:val="18"/>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99F4A4B" id="_x0000_t202" coordsize="21600,21600" o:spt="202" path="m,l,21600r21600,l21600,xe">
              <v:stroke joinstyle="miter"/>
              <v:path gradientshapeok="t" o:connecttype="rect"/>
            </v:shapetype>
            <v:shape id="MSIPCM5f5b401382d835106c9ca74b" o:spid="_x0000_s1026" type="#_x0000_t202" alt="{&quot;HashCode&quot;:424497481,&quot;Height&quot;:792.0,&quot;Width&quot;:612.0,&quot;Placement&quot;:&quot;Header&quot;,&quot;Index&quot;:&quot;Primary&quot;,&quot;Section&quot;:1,&quot;Top&quot;:0.0,&quot;Left&quot;:0.0}" style="position:absolute;margin-left:0;margin-top:15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hhm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" o:allowincell="f" filled="f" stroked="f" strokeweight=".5pt">
              <v:textbox inset="20pt,0,,0">
                <w:txbxContent>
                  <w:p w14:paraId="611B6140" w14:textId="58D8B133" w:rsidR="00327AAE" w:rsidRPr="00327AAE" w:rsidRDefault="00327AAE" w:rsidP="00327AAE">
                    <w:pPr>
                      <w:rPr>
                        <w:rFonts w:ascii="Arial" w:hAnsi="Arial" w:cs="Arial"/>
                        <w:color w:val="A80000"/>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52B9D"/>
    <w:multiLevelType w:val="hybridMultilevel"/>
    <w:tmpl w:val="A8786D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23668D"/>
    <w:multiLevelType w:val="hybridMultilevel"/>
    <w:tmpl w:val="119E27A0"/>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359731BF"/>
    <w:multiLevelType w:val="hybridMultilevel"/>
    <w:tmpl w:val="CB58756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DA04BC"/>
    <w:multiLevelType w:val="hybridMultilevel"/>
    <w:tmpl w:val="C2FCBDCC"/>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51474698"/>
    <w:multiLevelType w:val="hybridMultilevel"/>
    <w:tmpl w:val="08BE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13606A"/>
    <w:multiLevelType w:val="hybridMultilevel"/>
    <w:tmpl w:val="41F2481C"/>
    <w:lvl w:ilvl="0" w:tplc="4214539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673B7EE7"/>
    <w:multiLevelType w:val="hybridMultilevel"/>
    <w:tmpl w:val="7360962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7BA6313"/>
    <w:multiLevelType w:val="hybridMultilevel"/>
    <w:tmpl w:val="5D5C1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575364">
    <w:abstractNumId w:val="4"/>
  </w:num>
  <w:num w:numId="2" w16cid:durableId="1117795582">
    <w:abstractNumId w:val="6"/>
  </w:num>
  <w:num w:numId="3" w16cid:durableId="429814191">
    <w:abstractNumId w:val="2"/>
  </w:num>
  <w:num w:numId="4" w16cid:durableId="1140806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6638386">
    <w:abstractNumId w:val="5"/>
  </w:num>
  <w:num w:numId="6" w16cid:durableId="1003820903">
    <w:abstractNumId w:val="7"/>
  </w:num>
  <w:num w:numId="7" w16cid:durableId="784616824">
    <w:abstractNumId w:val="0"/>
  </w:num>
  <w:num w:numId="8" w16cid:durableId="854267540">
    <w:abstractNumId w:val="1"/>
  </w:num>
  <w:num w:numId="9" w16cid:durableId="13157201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AAB"/>
    <w:rsid w:val="000407A5"/>
    <w:rsid w:val="000452E7"/>
    <w:rsid w:val="000774ED"/>
    <w:rsid w:val="0010453E"/>
    <w:rsid w:val="001C4E5E"/>
    <w:rsid w:val="001E0D9B"/>
    <w:rsid w:val="002073BA"/>
    <w:rsid w:val="00226854"/>
    <w:rsid w:val="00264E8F"/>
    <w:rsid w:val="002E3FD6"/>
    <w:rsid w:val="00327AAE"/>
    <w:rsid w:val="00330D43"/>
    <w:rsid w:val="00397D57"/>
    <w:rsid w:val="003D537A"/>
    <w:rsid w:val="003D55C8"/>
    <w:rsid w:val="003E5313"/>
    <w:rsid w:val="00420DBC"/>
    <w:rsid w:val="00460AAB"/>
    <w:rsid w:val="0048515C"/>
    <w:rsid w:val="00487111"/>
    <w:rsid w:val="00493AC6"/>
    <w:rsid w:val="004957EF"/>
    <w:rsid w:val="004E14EF"/>
    <w:rsid w:val="004F63E7"/>
    <w:rsid w:val="00511689"/>
    <w:rsid w:val="005412B4"/>
    <w:rsid w:val="00543BF8"/>
    <w:rsid w:val="005A3186"/>
    <w:rsid w:val="005B4407"/>
    <w:rsid w:val="005E6BA7"/>
    <w:rsid w:val="006341D6"/>
    <w:rsid w:val="006576BA"/>
    <w:rsid w:val="00670A39"/>
    <w:rsid w:val="00680E74"/>
    <w:rsid w:val="006A4B9A"/>
    <w:rsid w:val="006B4DC7"/>
    <w:rsid w:val="006F5203"/>
    <w:rsid w:val="006F6FEF"/>
    <w:rsid w:val="007278E0"/>
    <w:rsid w:val="00755927"/>
    <w:rsid w:val="007A7B30"/>
    <w:rsid w:val="007D5274"/>
    <w:rsid w:val="007F5E26"/>
    <w:rsid w:val="008206C5"/>
    <w:rsid w:val="00830CFE"/>
    <w:rsid w:val="00832591"/>
    <w:rsid w:val="008C4A8A"/>
    <w:rsid w:val="008D399E"/>
    <w:rsid w:val="008D7212"/>
    <w:rsid w:val="00934FD0"/>
    <w:rsid w:val="00961CB4"/>
    <w:rsid w:val="009A4CA6"/>
    <w:rsid w:val="009A601C"/>
    <w:rsid w:val="00A0316F"/>
    <w:rsid w:val="00A60176"/>
    <w:rsid w:val="00A6140A"/>
    <w:rsid w:val="00A754B1"/>
    <w:rsid w:val="00A906B0"/>
    <w:rsid w:val="00AE1B77"/>
    <w:rsid w:val="00B52E8F"/>
    <w:rsid w:val="00B62CB0"/>
    <w:rsid w:val="00B72FDD"/>
    <w:rsid w:val="00BA3254"/>
    <w:rsid w:val="00BE67B6"/>
    <w:rsid w:val="00C35B1D"/>
    <w:rsid w:val="00C57BC4"/>
    <w:rsid w:val="00CF0476"/>
    <w:rsid w:val="00D56477"/>
    <w:rsid w:val="00D92C8A"/>
    <w:rsid w:val="00DD2FEB"/>
    <w:rsid w:val="00E14925"/>
    <w:rsid w:val="00E45326"/>
    <w:rsid w:val="00E618C4"/>
    <w:rsid w:val="00E8720A"/>
    <w:rsid w:val="00EB2595"/>
    <w:rsid w:val="00ED714B"/>
    <w:rsid w:val="00EF11B1"/>
    <w:rsid w:val="00F76AB8"/>
    <w:rsid w:val="00F927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7F00"/>
  <w15:chartTrackingRefBased/>
  <w15:docId w15:val="{6A5A4484-B832-40DE-AF2C-9C982C719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ultiple 1.08 li,Space"/>
    <w:qFormat/>
    <w:rsid w:val="00460AAB"/>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52E7"/>
    <w:pPr>
      <w:widowControl/>
      <w:spacing w:after="160" w:line="259" w:lineRule="auto"/>
      <w:ind w:left="720"/>
      <w:contextualSpacing/>
    </w:pPr>
    <w:rPr>
      <w:rFonts w:asciiTheme="minorHAnsi" w:eastAsiaTheme="minorHAnsi" w:hAnsiTheme="minorHAnsi" w:cstheme="minorBidi"/>
      <w:color w:val="auto"/>
      <w:sz w:val="22"/>
      <w:szCs w:val="22"/>
      <w:lang w:val="en-GB" w:eastAsia="en-US"/>
    </w:rPr>
  </w:style>
  <w:style w:type="paragraph" w:styleId="NoSpacing">
    <w:name w:val="No Spacing"/>
    <w:uiPriority w:val="1"/>
    <w:rsid w:val="000452E7"/>
    <w:pPr>
      <w:spacing w:after="0" w:line="240" w:lineRule="auto"/>
    </w:pPr>
  </w:style>
  <w:style w:type="paragraph" w:styleId="BodyText">
    <w:name w:val="Body Text"/>
    <w:basedOn w:val="Normal"/>
    <w:link w:val="BodyTextChar"/>
    <w:rsid w:val="00460AAB"/>
    <w:pPr>
      <w:widowControl/>
      <w:overflowPunct w:val="0"/>
      <w:autoSpaceDE w:val="0"/>
      <w:autoSpaceDN w:val="0"/>
      <w:adjustRightInd w:val="0"/>
      <w:jc w:val="both"/>
      <w:textAlignment w:val="baseline"/>
    </w:pPr>
    <w:rPr>
      <w:rFonts w:ascii="VNI-Times" w:eastAsia="Times New Roman" w:hAnsi="VNI-Times" w:cs="Times New Roman"/>
      <w:color w:val="auto"/>
      <w:sz w:val="20"/>
      <w:szCs w:val="20"/>
      <w:lang w:val="en-GB" w:eastAsia="en-US"/>
    </w:rPr>
  </w:style>
  <w:style w:type="character" w:customStyle="1" w:styleId="BodyTextChar">
    <w:name w:val="Body Text Char"/>
    <w:basedOn w:val="DefaultParagraphFont"/>
    <w:link w:val="BodyText"/>
    <w:rsid w:val="00460AAB"/>
    <w:rPr>
      <w:rFonts w:ascii="VNI-Times" w:eastAsia="Times New Roman" w:hAnsi="VNI-Times" w:cs="Times New Roman"/>
      <w:sz w:val="20"/>
      <w:szCs w:val="20"/>
    </w:rPr>
  </w:style>
  <w:style w:type="paragraph" w:styleId="Header">
    <w:name w:val="header"/>
    <w:basedOn w:val="Normal"/>
    <w:link w:val="HeaderChar"/>
    <w:uiPriority w:val="99"/>
    <w:unhideWhenUsed/>
    <w:rsid w:val="00327AAE"/>
    <w:pPr>
      <w:tabs>
        <w:tab w:val="center" w:pos="4513"/>
        <w:tab w:val="right" w:pos="9026"/>
      </w:tabs>
    </w:pPr>
  </w:style>
  <w:style w:type="character" w:customStyle="1" w:styleId="HeaderChar">
    <w:name w:val="Header Char"/>
    <w:basedOn w:val="DefaultParagraphFont"/>
    <w:link w:val="Header"/>
    <w:uiPriority w:val="99"/>
    <w:rsid w:val="00327AAE"/>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327AAE"/>
    <w:pPr>
      <w:tabs>
        <w:tab w:val="center" w:pos="4513"/>
        <w:tab w:val="right" w:pos="9026"/>
      </w:tabs>
    </w:pPr>
  </w:style>
  <w:style w:type="character" w:customStyle="1" w:styleId="FooterChar">
    <w:name w:val="Footer Char"/>
    <w:basedOn w:val="DefaultParagraphFont"/>
    <w:link w:val="Footer"/>
    <w:uiPriority w:val="99"/>
    <w:rsid w:val="00327AAE"/>
    <w:rPr>
      <w:rFonts w:ascii="Tahoma" w:eastAsia="Tahoma" w:hAnsi="Tahoma" w:cs="Tahoma"/>
      <w:color w:val="000000"/>
      <w:sz w:val="24"/>
      <w:szCs w:val="24"/>
      <w:lang w:val="vi-VN" w:eastAsia="vi-VN"/>
    </w:rPr>
  </w:style>
  <w:style w:type="paragraph" w:styleId="BalloonText">
    <w:name w:val="Balloon Text"/>
    <w:basedOn w:val="Normal"/>
    <w:link w:val="BalloonTextChar"/>
    <w:uiPriority w:val="99"/>
    <w:semiHidden/>
    <w:unhideWhenUsed/>
    <w:rsid w:val="001C4E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E5E"/>
    <w:rPr>
      <w:rFonts w:ascii="Segoe UI" w:eastAsia="Tahoma" w:hAnsi="Segoe UI" w:cs="Segoe UI"/>
      <w:color w:val="000000"/>
      <w:sz w:val="18"/>
      <w:szCs w:val="18"/>
      <w:lang w:val="vi-VN" w:eastAsia="vi-VN"/>
    </w:rPr>
  </w:style>
  <w:style w:type="character" w:styleId="CommentReference">
    <w:name w:val="annotation reference"/>
    <w:basedOn w:val="DefaultParagraphFont"/>
    <w:uiPriority w:val="99"/>
    <w:semiHidden/>
    <w:unhideWhenUsed/>
    <w:rsid w:val="00CF0476"/>
    <w:rPr>
      <w:sz w:val="16"/>
      <w:szCs w:val="16"/>
    </w:rPr>
  </w:style>
  <w:style w:type="paragraph" w:styleId="CommentText">
    <w:name w:val="annotation text"/>
    <w:basedOn w:val="Normal"/>
    <w:link w:val="CommentTextChar"/>
    <w:uiPriority w:val="99"/>
    <w:semiHidden/>
    <w:unhideWhenUsed/>
    <w:rsid w:val="00CF0476"/>
    <w:rPr>
      <w:sz w:val="20"/>
      <w:szCs w:val="20"/>
    </w:rPr>
  </w:style>
  <w:style w:type="character" w:customStyle="1" w:styleId="CommentTextChar">
    <w:name w:val="Comment Text Char"/>
    <w:basedOn w:val="DefaultParagraphFont"/>
    <w:link w:val="CommentText"/>
    <w:uiPriority w:val="99"/>
    <w:semiHidden/>
    <w:rsid w:val="00CF0476"/>
    <w:rPr>
      <w:rFonts w:ascii="Tahoma" w:eastAsia="Tahoma" w:hAnsi="Tahoma" w:cs="Tahoma"/>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CF0476"/>
    <w:rPr>
      <w:b/>
      <w:bCs/>
    </w:rPr>
  </w:style>
  <w:style w:type="character" w:customStyle="1" w:styleId="CommentSubjectChar">
    <w:name w:val="Comment Subject Char"/>
    <w:basedOn w:val="CommentTextChar"/>
    <w:link w:val="CommentSubject"/>
    <w:uiPriority w:val="99"/>
    <w:semiHidden/>
    <w:rsid w:val="00CF0476"/>
    <w:rPr>
      <w:rFonts w:ascii="Tahoma" w:eastAsia="Tahoma" w:hAnsi="Tahoma" w:cs="Tahoma"/>
      <w:b/>
      <w:bCs/>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2223">
      <w:bodyDiv w:val="1"/>
      <w:marLeft w:val="0"/>
      <w:marRight w:val="0"/>
      <w:marTop w:val="0"/>
      <w:marBottom w:val="0"/>
      <w:divBdr>
        <w:top w:val="none" w:sz="0" w:space="0" w:color="auto"/>
        <w:left w:val="none" w:sz="0" w:space="0" w:color="auto"/>
        <w:bottom w:val="none" w:sz="0" w:space="0" w:color="auto"/>
        <w:right w:val="none" w:sz="0" w:space="0" w:color="auto"/>
      </w:divBdr>
    </w:div>
    <w:div w:id="240867859">
      <w:bodyDiv w:val="1"/>
      <w:marLeft w:val="0"/>
      <w:marRight w:val="0"/>
      <w:marTop w:val="0"/>
      <w:marBottom w:val="0"/>
      <w:divBdr>
        <w:top w:val="none" w:sz="0" w:space="0" w:color="auto"/>
        <w:left w:val="none" w:sz="0" w:space="0" w:color="auto"/>
        <w:bottom w:val="none" w:sz="0" w:space="0" w:color="auto"/>
        <w:right w:val="none" w:sz="0" w:space="0" w:color="auto"/>
      </w:divBdr>
    </w:div>
    <w:div w:id="309673940">
      <w:bodyDiv w:val="1"/>
      <w:marLeft w:val="0"/>
      <w:marRight w:val="0"/>
      <w:marTop w:val="0"/>
      <w:marBottom w:val="0"/>
      <w:divBdr>
        <w:top w:val="none" w:sz="0" w:space="0" w:color="auto"/>
        <w:left w:val="none" w:sz="0" w:space="0" w:color="auto"/>
        <w:bottom w:val="none" w:sz="0" w:space="0" w:color="auto"/>
        <w:right w:val="none" w:sz="0" w:space="0" w:color="auto"/>
      </w:divBdr>
    </w:div>
    <w:div w:id="334378568">
      <w:bodyDiv w:val="1"/>
      <w:marLeft w:val="0"/>
      <w:marRight w:val="0"/>
      <w:marTop w:val="0"/>
      <w:marBottom w:val="0"/>
      <w:divBdr>
        <w:top w:val="none" w:sz="0" w:space="0" w:color="auto"/>
        <w:left w:val="none" w:sz="0" w:space="0" w:color="auto"/>
        <w:bottom w:val="none" w:sz="0" w:space="0" w:color="auto"/>
        <w:right w:val="none" w:sz="0" w:space="0" w:color="auto"/>
      </w:divBdr>
    </w:div>
    <w:div w:id="346711991">
      <w:bodyDiv w:val="1"/>
      <w:marLeft w:val="0"/>
      <w:marRight w:val="0"/>
      <w:marTop w:val="0"/>
      <w:marBottom w:val="0"/>
      <w:divBdr>
        <w:top w:val="none" w:sz="0" w:space="0" w:color="auto"/>
        <w:left w:val="none" w:sz="0" w:space="0" w:color="auto"/>
        <w:bottom w:val="none" w:sz="0" w:space="0" w:color="auto"/>
        <w:right w:val="none" w:sz="0" w:space="0" w:color="auto"/>
      </w:divBdr>
    </w:div>
    <w:div w:id="399326237">
      <w:bodyDiv w:val="1"/>
      <w:marLeft w:val="0"/>
      <w:marRight w:val="0"/>
      <w:marTop w:val="0"/>
      <w:marBottom w:val="0"/>
      <w:divBdr>
        <w:top w:val="none" w:sz="0" w:space="0" w:color="auto"/>
        <w:left w:val="none" w:sz="0" w:space="0" w:color="auto"/>
        <w:bottom w:val="none" w:sz="0" w:space="0" w:color="auto"/>
        <w:right w:val="none" w:sz="0" w:space="0" w:color="auto"/>
      </w:divBdr>
    </w:div>
    <w:div w:id="555168094">
      <w:bodyDiv w:val="1"/>
      <w:marLeft w:val="0"/>
      <w:marRight w:val="0"/>
      <w:marTop w:val="0"/>
      <w:marBottom w:val="0"/>
      <w:divBdr>
        <w:top w:val="none" w:sz="0" w:space="0" w:color="auto"/>
        <w:left w:val="none" w:sz="0" w:space="0" w:color="auto"/>
        <w:bottom w:val="none" w:sz="0" w:space="0" w:color="auto"/>
        <w:right w:val="none" w:sz="0" w:space="0" w:color="auto"/>
      </w:divBdr>
    </w:div>
    <w:div w:id="557672236">
      <w:bodyDiv w:val="1"/>
      <w:marLeft w:val="0"/>
      <w:marRight w:val="0"/>
      <w:marTop w:val="0"/>
      <w:marBottom w:val="0"/>
      <w:divBdr>
        <w:top w:val="none" w:sz="0" w:space="0" w:color="auto"/>
        <w:left w:val="none" w:sz="0" w:space="0" w:color="auto"/>
        <w:bottom w:val="none" w:sz="0" w:space="0" w:color="auto"/>
        <w:right w:val="none" w:sz="0" w:space="0" w:color="auto"/>
      </w:divBdr>
    </w:div>
    <w:div w:id="581794763">
      <w:bodyDiv w:val="1"/>
      <w:marLeft w:val="0"/>
      <w:marRight w:val="0"/>
      <w:marTop w:val="0"/>
      <w:marBottom w:val="0"/>
      <w:divBdr>
        <w:top w:val="none" w:sz="0" w:space="0" w:color="auto"/>
        <w:left w:val="none" w:sz="0" w:space="0" w:color="auto"/>
        <w:bottom w:val="none" w:sz="0" w:space="0" w:color="auto"/>
        <w:right w:val="none" w:sz="0" w:space="0" w:color="auto"/>
      </w:divBdr>
    </w:div>
    <w:div w:id="697463032">
      <w:bodyDiv w:val="1"/>
      <w:marLeft w:val="0"/>
      <w:marRight w:val="0"/>
      <w:marTop w:val="0"/>
      <w:marBottom w:val="0"/>
      <w:divBdr>
        <w:top w:val="none" w:sz="0" w:space="0" w:color="auto"/>
        <w:left w:val="none" w:sz="0" w:space="0" w:color="auto"/>
        <w:bottom w:val="none" w:sz="0" w:space="0" w:color="auto"/>
        <w:right w:val="none" w:sz="0" w:space="0" w:color="auto"/>
      </w:divBdr>
    </w:div>
    <w:div w:id="753089076">
      <w:bodyDiv w:val="1"/>
      <w:marLeft w:val="0"/>
      <w:marRight w:val="0"/>
      <w:marTop w:val="0"/>
      <w:marBottom w:val="0"/>
      <w:divBdr>
        <w:top w:val="none" w:sz="0" w:space="0" w:color="auto"/>
        <w:left w:val="none" w:sz="0" w:space="0" w:color="auto"/>
        <w:bottom w:val="none" w:sz="0" w:space="0" w:color="auto"/>
        <w:right w:val="none" w:sz="0" w:space="0" w:color="auto"/>
      </w:divBdr>
    </w:div>
    <w:div w:id="1459296878">
      <w:bodyDiv w:val="1"/>
      <w:marLeft w:val="0"/>
      <w:marRight w:val="0"/>
      <w:marTop w:val="0"/>
      <w:marBottom w:val="0"/>
      <w:divBdr>
        <w:top w:val="none" w:sz="0" w:space="0" w:color="auto"/>
        <w:left w:val="none" w:sz="0" w:space="0" w:color="auto"/>
        <w:bottom w:val="none" w:sz="0" w:space="0" w:color="auto"/>
        <w:right w:val="none" w:sz="0" w:space="0" w:color="auto"/>
      </w:divBdr>
    </w:div>
    <w:div w:id="210364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b6621a0-77ee-4db4-a519-10fba0c026d6}" enabled="1" method="Privileged" siteId="{b44900f1-2def-4c3b-9ec6-9020d604e19e}" removed="0"/>
  <clbl:label id="{efead094-560e-463c-bb19-c3c75b05d1f6}" enabled="1" method="Standard" siteId="{7007305e-2664-4e6b-b9a4-c4d5ccfd1524}" contentBits="0" removed="0"/>
</clbl:labelList>
</file>

<file path=docProps/app.xml><?xml version="1.0" encoding="utf-8"?>
<Properties xmlns="http://schemas.openxmlformats.org/officeDocument/2006/extended-properties" xmlns:vt="http://schemas.openxmlformats.org/officeDocument/2006/docPropsVTypes">
  <Template>Normal.dotm</Template>
  <TotalTime>252</TotalTime>
  <Pages>2</Pages>
  <Words>624</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Yen</dc:creator>
  <cp:keywords/>
  <dc:description/>
  <cp:lastModifiedBy>Pham Truong Giao Hoa</cp:lastModifiedBy>
  <cp:revision>46</cp:revision>
  <dcterms:created xsi:type="dcterms:W3CDTF">2021-07-26T10:28:00Z</dcterms:created>
  <dcterms:modified xsi:type="dcterms:W3CDTF">2025-03-31T10:23:00Z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6621a0-77ee-4db4-a519-10fba0c026d6_Enabled">
    <vt:lpwstr>True</vt:lpwstr>
  </property>
  <property fmtid="{D5CDD505-2E9C-101B-9397-08002B2CF9AE}" pid="3" name="MSIP_Label_8b6621a0-77ee-4db4-a519-10fba0c026d6_SiteId">
    <vt:lpwstr>b44900f1-2def-4c3b-9ec6-9020d604e19e</vt:lpwstr>
  </property>
  <property fmtid="{D5CDD505-2E9C-101B-9397-08002B2CF9AE}" pid="4" name="MSIP_Label_8b6621a0-77ee-4db4-a519-10fba0c026d6_Owner">
    <vt:lpwstr>1570243@zone1.scb.net</vt:lpwstr>
  </property>
  <property fmtid="{D5CDD505-2E9C-101B-9397-08002B2CF9AE}" pid="5" name="MSIP_Label_8b6621a0-77ee-4db4-a519-10fba0c026d6_SetDate">
    <vt:lpwstr>2021-07-26T07:42:30.2929935Z</vt:lpwstr>
  </property>
  <property fmtid="{D5CDD505-2E9C-101B-9397-08002B2CF9AE}" pid="6" name="MSIP_Label_8b6621a0-77ee-4db4-a519-10fba0c026d6_Name">
    <vt:lpwstr>Confidential</vt:lpwstr>
  </property>
  <property fmtid="{D5CDD505-2E9C-101B-9397-08002B2CF9AE}" pid="7" name="MSIP_Label_8b6621a0-77ee-4db4-a519-10fba0c026d6_Application">
    <vt:lpwstr>Microsoft Azure Information Protection</vt:lpwstr>
  </property>
  <property fmtid="{D5CDD505-2E9C-101B-9397-08002B2CF9AE}" pid="8" name="MSIP_Label_8b6621a0-77ee-4db4-a519-10fba0c026d6_ActionId">
    <vt:lpwstr>70f751ef-9072-417a-9d36-0571bd0c0119</vt:lpwstr>
  </property>
  <property fmtid="{D5CDD505-2E9C-101B-9397-08002B2CF9AE}" pid="9" name="MSIP_Label_8b6621a0-77ee-4db4-a519-10fba0c026d6_Extended_MSFT_Method">
    <vt:lpwstr>Manual</vt:lpwstr>
  </property>
  <property fmtid="{D5CDD505-2E9C-101B-9397-08002B2CF9AE}" pid="10" name="Sensitivity">
    <vt:lpwstr>Confidential</vt:lpwstr>
  </property>
</Properties>
</file>